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F55F" w14:textId="0885B9D0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03709A">
        <w:rPr>
          <w:rFonts w:cs="Arial"/>
          <w:iCs/>
          <w:caps/>
          <w:sz w:val="28"/>
          <w:szCs w:val="28"/>
        </w:rPr>
        <w:t>049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6F386EF7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665F79">
        <w:rPr>
          <w:rFonts w:cs="Arial"/>
          <w:iCs/>
          <w:sz w:val="24"/>
          <w:szCs w:val="24"/>
        </w:rPr>
        <w:t xml:space="preserve">de </w:t>
      </w:r>
      <w:r w:rsidR="0003709A">
        <w:rPr>
          <w:rFonts w:cs="Arial"/>
          <w:iCs/>
          <w:sz w:val="24"/>
          <w:szCs w:val="24"/>
        </w:rPr>
        <w:t>18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1175C1">
        <w:rPr>
          <w:rFonts w:cs="Arial"/>
          <w:iCs/>
          <w:sz w:val="24"/>
          <w:szCs w:val="24"/>
        </w:rPr>
        <w:t>julho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62B57B94" w:rsidR="006D118E" w:rsidRPr="004A2077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9D3C28" w:rsidRPr="009D3C28">
        <w:rPr>
          <w:rFonts w:ascii="Arial" w:hAnsi="Arial" w:cs="Arial"/>
          <w:b/>
          <w:i/>
          <w:color w:val="000000" w:themeColor="text1"/>
          <w:sz w:val="22"/>
          <w:szCs w:val="22"/>
        </w:rPr>
        <w:t>Suplementar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0D67C8" w:rsidRPr="000D67C8">
        <w:rPr>
          <w:rFonts w:ascii="Arial" w:hAnsi="Arial" w:cs="Arial"/>
          <w:b/>
          <w:i/>
          <w:color w:val="000000" w:themeColor="text1"/>
          <w:sz w:val="22"/>
          <w:szCs w:val="22"/>
        </w:rPr>
        <w:t>415.36,45</w:t>
      </w:r>
      <w:r w:rsidRPr="000D67C8">
        <w:rPr>
          <w:rFonts w:ascii="Arial" w:hAnsi="Arial" w:cs="Arial"/>
          <w:b/>
          <w:i/>
          <w:color w:val="000000" w:themeColor="text1"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  <w:sz w:val="22"/>
          <w:szCs w:val="22"/>
        </w:rPr>
      </w:pPr>
    </w:p>
    <w:p w14:paraId="6051BF72" w14:textId="00CF0555" w:rsidR="00344DCE" w:rsidRDefault="006D118E" w:rsidP="009A444A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9D3C28">
        <w:rPr>
          <w:rFonts w:ascii="Arial" w:hAnsi="Arial" w:cs="Arial"/>
          <w:sz w:val="22"/>
          <w:szCs w:val="22"/>
        </w:rPr>
        <w:t>Sup</w:t>
      </w:r>
      <w:r w:rsidRPr="003D072D">
        <w:rPr>
          <w:rFonts w:ascii="Arial" w:hAnsi="Arial" w:cs="Arial"/>
          <w:sz w:val="22"/>
          <w:szCs w:val="22"/>
        </w:rPr>
        <w:t>l</w:t>
      </w:r>
      <w:r w:rsidR="009D3C28">
        <w:rPr>
          <w:rFonts w:ascii="Arial" w:hAnsi="Arial" w:cs="Arial"/>
          <w:sz w:val="22"/>
          <w:szCs w:val="22"/>
        </w:rPr>
        <w:t>ementar</w:t>
      </w:r>
      <w:r w:rsidRPr="003D072D">
        <w:rPr>
          <w:rFonts w:ascii="Arial" w:hAnsi="Arial" w:cs="Arial"/>
          <w:sz w:val="22"/>
          <w:szCs w:val="22"/>
        </w:rPr>
        <w:t xml:space="preserve"> no valor total </w:t>
      </w:r>
      <w:r w:rsidRPr="004A2077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FE6FF5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0D67C8" w:rsidRPr="000D67C8">
        <w:rPr>
          <w:rFonts w:ascii="Arial" w:hAnsi="Arial" w:cs="Arial"/>
          <w:b/>
          <w:i/>
          <w:color w:val="000000" w:themeColor="text1"/>
          <w:sz w:val="22"/>
          <w:szCs w:val="22"/>
        </w:rPr>
        <w:t>415.036,45</w:t>
      </w:r>
      <w:r w:rsidR="00FE6FF5" w:rsidRPr="000D67C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D67C8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8E59D0">
        <w:rPr>
          <w:rFonts w:ascii="Arial" w:hAnsi="Arial" w:cs="Arial"/>
          <w:b/>
          <w:color w:val="000000" w:themeColor="text1"/>
          <w:sz w:val="22"/>
          <w:szCs w:val="22"/>
        </w:rPr>
        <w:t>quatrocentos e quinze mil e trinta e seis reais com quarenta e cinco centavos</w:t>
      </w:r>
      <w:r w:rsidRPr="008E59D0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Pr="003A72E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56C39856" w14:textId="43051916" w:rsidR="00BA5694" w:rsidRPr="001C6137" w:rsidRDefault="00DE3FBA" w:rsidP="0026473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BA5694"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48618B">
        <w:rPr>
          <w:rFonts w:ascii="Arial" w:hAnsi="Arial" w:cs="Arial"/>
          <w:color w:val="000000" w:themeColor="text1"/>
          <w:sz w:val="22"/>
          <w:szCs w:val="22"/>
        </w:rPr>
        <w:t>0</w:t>
      </w:r>
      <w:r w:rsidR="003A72E9">
        <w:rPr>
          <w:rFonts w:ascii="Arial" w:hAnsi="Arial" w:cs="Arial"/>
          <w:color w:val="000000" w:themeColor="text1"/>
          <w:sz w:val="22"/>
          <w:szCs w:val="22"/>
        </w:rPr>
        <w:t>9</w:t>
      </w:r>
      <w:r w:rsidR="00BA5694"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9A444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3A72E9">
        <w:rPr>
          <w:rFonts w:ascii="Arial" w:hAnsi="Arial" w:cs="Arial"/>
          <w:color w:val="000000" w:themeColor="text1"/>
          <w:sz w:val="22"/>
          <w:szCs w:val="22"/>
          <w:lang w:eastAsia="en-US"/>
        </w:rPr>
        <w:t>Obras</w:t>
      </w:r>
    </w:p>
    <w:p w14:paraId="28B7EF50" w14:textId="1680F264" w:rsidR="00BA5694" w:rsidRPr="001C6137" w:rsidRDefault="00BA5694" w:rsidP="00BA569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 w:rsidR="003A72E9"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A5694" w:rsidRPr="001C6137" w14:paraId="4A2925A6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A243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A1C8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4D65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106F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A5694" w:rsidRPr="001C6137" w14:paraId="6ABFF9FA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3B68" w14:textId="7815F03A" w:rsidR="00BA5694" w:rsidRPr="001C6137" w:rsidRDefault="003A72E9" w:rsidP="009A44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15.452.1502.2.105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C00D" w14:textId="351E82D2" w:rsidR="00BA5694" w:rsidRPr="001C6137" w:rsidRDefault="009A444A" w:rsidP="003A72E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</w:t>
            </w:r>
            <w:r w:rsidR="003A72E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 Praças, Parques e Jardins Públicos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033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754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A5694" w:rsidRPr="001C6137" w14:paraId="04B6B0E9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C8F4" w14:textId="47EF3808" w:rsidR="00BA5694" w:rsidRPr="001C6137" w:rsidRDefault="00BA5694" w:rsidP="003A72E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</w:t>
            </w:r>
            <w:r w:rsidR="00DE3FB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</w:t>
            </w:r>
            <w:r w:rsidR="003A72E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3060" w14:textId="773D094C" w:rsidR="00BA5694" w:rsidRPr="001C6137" w:rsidRDefault="003A72E9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A569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A5694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B6C2" w14:textId="160ACEBC" w:rsidR="00BA5694" w:rsidRPr="00A97B49" w:rsidRDefault="00DE3FBA" w:rsidP="009A44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8D3" w14:textId="1F132D44" w:rsidR="00BA5694" w:rsidRDefault="003A72E9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30.813,88</w:t>
            </w:r>
            <w:r w:rsidR="00BA5694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4392E4D0" w14:textId="7C01E5B7" w:rsidR="0048618B" w:rsidRDefault="0048618B" w:rsidP="00113C72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8BC651E" w14:textId="3AB579D0" w:rsidR="003A72E9" w:rsidRPr="001C6137" w:rsidRDefault="003A72E9" w:rsidP="003A72E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</w:t>
      </w:r>
    </w:p>
    <w:p w14:paraId="0E7FF390" w14:textId="77777777" w:rsidR="003A72E9" w:rsidRPr="001C6137" w:rsidRDefault="003A72E9" w:rsidP="003A72E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A72E9" w:rsidRPr="001C6137" w14:paraId="364468AC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8F9C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4BA2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5846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47C7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A72E9" w:rsidRPr="001C6137" w14:paraId="683EC689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5DFB" w14:textId="22062E61" w:rsidR="003A72E9" w:rsidRPr="001C6137" w:rsidRDefault="003A72E9" w:rsidP="00C9519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04.122.0401.2.100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5BAB" w14:textId="72ED2C7A" w:rsidR="003A72E9" w:rsidRPr="001C6137" w:rsidRDefault="003A72E9" w:rsidP="003A72E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Obras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A822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E13E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A72E9" w:rsidRPr="001C6137" w14:paraId="184753AD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6CC1" w14:textId="17CDC7C4" w:rsidR="003A72E9" w:rsidRPr="001C6137" w:rsidRDefault="003A72E9" w:rsidP="003A72E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1309" w14:textId="6EB6D4B4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21D3" w14:textId="77777777" w:rsidR="003A72E9" w:rsidRPr="00A97B49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8886" w14:textId="435AF5D7" w:rsidR="003A72E9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6FD6A672" w14:textId="53E5DDE0" w:rsidR="003A72E9" w:rsidRDefault="003A72E9" w:rsidP="00113C72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57773A7" w14:textId="517E5C39" w:rsidR="003A72E9" w:rsidRPr="001C6137" w:rsidRDefault="003A72E9" w:rsidP="003A72E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</w:t>
      </w:r>
    </w:p>
    <w:p w14:paraId="629CA70E" w14:textId="77777777" w:rsidR="003A72E9" w:rsidRPr="001C6137" w:rsidRDefault="003A72E9" w:rsidP="003A72E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A72E9" w:rsidRPr="001C6137" w14:paraId="5D5CEEEB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B8AD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9099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2FEC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519D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A72E9" w:rsidRPr="001C6137" w14:paraId="79E04F1E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8303" w14:textId="67E46BDC" w:rsidR="003A72E9" w:rsidRPr="001C6137" w:rsidRDefault="003A72E9" w:rsidP="003A72E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15.452.1501.2.103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FB89" w14:textId="75F3E899" w:rsidR="003A72E9" w:rsidRPr="001C6137" w:rsidRDefault="003A72E9" w:rsidP="003A72E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do Sistema de Iluminação Pública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6A66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844D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A72E9" w:rsidRPr="001C6137" w14:paraId="2A2C4FD4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273D" w14:textId="77777777" w:rsidR="003A72E9" w:rsidRPr="001C6137" w:rsidRDefault="003A72E9" w:rsidP="00C9519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1405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DAE3" w14:textId="77777777" w:rsidR="003A72E9" w:rsidRPr="00A97B49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C7E" w14:textId="77777777" w:rsidR="003A72E9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347DB437" w14:textId="291D22F5" w:rsidR="003A72E9" w:rsidRDefault="003A72E9" w:rsidP="00113C72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D324D09" w14:textId="6DAE51A8" w:rsidR="00621CCA" w:rsidRPr="001C6137" w:rsidRDefault="00621CCA" w:rsidP="00621CCA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</w:t>
      </w:r>
    </w:p>
    <w:p w14:paraId="0DC25F37" w14:textId="77777777" w:rsidR="00621CCA" w:rsidRPr="001C6137" w:rsidRDefault="00621CCA" w:rsidP="00621CC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621CCA" w:rsidRPr="001C6137" w14:paraId="309A707D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67B7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D429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0C53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A76A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21CCA" w:rsidRPr="001C6137" w14:paraId="186CE0FD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433A" w14:textId="5436E44E" w:rsidR="00621CCA" w:rsidRPr="001C6137" w:rsidRDefault="00621CCA" w:rsidP="00621CC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15.451.1503.3.020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DD69" w14:textId="0E385F82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Pavimentação da Rua Garibaldi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0113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2061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21CCA" w:rsidRPr="001C6137" w14:paraId="06619418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02C8" w14:textId="6DE1B118" w:rsidR="00621CCA" w:rsidRPr="001C6137" w:rsidRDefault="00621CCA" w:rsidP="00C9519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8754" w14:textId="024923FC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5EBC" w14:textId="77777777" w:rsidR="00621CCA" w:rsidRPr="00A97B49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1521" w14:textId="5475CCBD" w:rsidR="00621CCA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82.245,89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5DD2DB42" w14:textId="74243662" w:rsidR="00621CCA" w:rsidRDefault="00621CCA" w:rsidP="00113C72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5081A73" w14:textId="0904F442" w:rsidR="00621CCA" w:rsidRPr="001C6137" w:rsidRDefault="00621CCA" w:rsidP="00621CCA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</w:t>
      </w:r>
    </w:p>
    <w:p w14:paraId="62EB89F0" w14:textId="77777777" w:rsidR="00621CCA" w:rsidRPr="001C6137" w:rsidRDefault="00621CCA" w:rsidP="00621CC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621CCA" w:rsidRPr="001C6137" w14:paraId="7A7FC98F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A611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808B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07F9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B8A2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21CCA" w:rsidRPr="001C6137" w14:paraId="59CF18EB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6152" w14:textId="15EA0122" w:rsidR="00621CCA" w:rsidRPr="001C6137" w:rsidRDefault="00621CCA" w:rsidP="00621CC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15.451.1503.3.021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4FB3" w14:textId="5AAC40BE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Pavimentação da Rua Visconde do Rio Branco Trecho 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2F63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CCFE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21CCA" w:rsidRPr="001C6137" w14:paraId="0B7E6351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D7BE" w14:textId="77777777" w:rsidR="00621CCA" w:rsidRPr="001C6137" w:rsidRDefault="00621CCA" w:rsidP="00C9519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9532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A50F" w14:textId="77777777" w:rsidR="00621CCA" w:rsidRPr="00A97B49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2111" w14:textId="31CAC364" w:rsidR="00621CCA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124.084,31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2C4743FD" w14:textId="662AF24C" w:rsidR="00621CCA" w:rsidRDefault="00621CCA" w:rsidP="00A862D3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E789DDA" w14:textId="77777777" w:rsidR="00113C72" w:rsidRDefault="00113C72" w:rsidP="00A862D3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E07281" w14:textId="4015F31D" w:rsidR="00621CCA" w:rsidRPr="001C6137" w:rsidRDefault="00621CCA" w:rsidP="00621CCA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</w:t>
      </w:r>
    </w:p>
    <w:p w14:paraId="6B957423" w14:textId="77777777" w:rsidR="00621CCA" w:rsidRPr="001C6137" w:rsidRDefault="00621CCA" w:rsidP="00621CC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621CCA" w:rsidRPr="001C6137" w14:paraId="55055973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422C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7BB4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B3E8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AD83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21CCA" w:rsidRPr="001C6137" w14:paraId="40D36993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68F8" w14:textId="5254B36E" w:rsidR="00621CCA" w:rsidRPr="001C6137" w:rsidRDefault="00621CCA" w:rsidP="00621CC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15.451.1503.3.022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C3EB" w14:textId="0CA82D27" w:rsidR="00621CCA" w:rsidRPr="001C6137" w:rsidRDefault="00621CCA" w:rsidP="00621CC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Pavimentação da Rua Visconde do Rio Branco Trecho 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CF55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DC39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21CCA" w:rsidRPr="001C6137" w14:paraId="575B589B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F16A" w14:textId="77777777" w:rsidR="00621CCA" w:rsidRPr="001C6137" w:rsidRDefault="00621CCA" w:rsidP="00C9519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2E25" w14:textId="77777777" w:rsidR="00621CCA" w:rsidRPr="001C6137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3BF3" w14:textId="77777777" w:rsidR="00621CCA" w:rsidRPr="00A97B49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B285" w14:textId="6641A233" w:rsidR="00621CCA" w:rsidRDefault="00621CCA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147.892,37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189E2AE6" w14:textId="77777777" w:rsidR="00621CCA" w:rsidRDefault="00621CCA" w:rsidP="00113C72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804994" w14:textId="237AAF1C" w:rsidR="00844BA8" w:rsidRDefault="00844BA8" w:rsidP="00844BA8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>Servirá de recursos para a abertu</w:t>
      </w:r>
      <w:r w:rsidR="00113C72">
        <w:rPr>
          <w:rFonts w:ascii="Arial" w:hAnsi="Arial" w:cs="Arial"/>
          <w:sz w:val="22"/>
          <w:szCs w:val="22"/>
        </w:rPr>
        <w:t>ra do Crédito Adicional Suplementar</w:t>
      </w:r>
      <w:r w:rsidRPr="00CC75D8">
        <w:rPr>
          <w:rFonts w:ascii="Arial" w:hAnsi="Arial" w:cs="Arial"/>
          <w:sz w:val="22"/>
          <w:szCs w:val="22"/>
        </w:rPr>
        <w:t xml:space="preserve">, que tratam o Art. 1º, em </w:t>
      </w:r>
      <w:r w:rsidRPr="008133AA">
        <w:rPr>
          <w:rFonts w:ascii="Arial" w:hAnsi="Arial" w:cs="Arial"/>
          <w:sz w:val="22"/>
          <w:szCs w:val="22"/>
        </w:rPr>
        <w:t>consonância com o disposto no Art. 43, § 1º, inciso, I</w:t>
      </w:r>
      <w:r>
        <w:rPr>
          <w:rFonts w:ascii="Arial" w:hAnsi="Arial" w:cs="Arial"/>
          <w:sz w:val="22"/>
          <w:szCs w:val="22"/>
        </w:rPr>
        <w:t xml:space="preserve"> </w:t>
      </w:r>
      <w:r w:rsidRPr="008133AA">
        <w:rPr>
          <w:rFonts w:ascii="Arial" w:hAnsi="Arial" w:cs="Arial"/>
          <w:sz w:val="22"/>
          <w:szCs w:val="22"/>
        </w:rPr>
        <w:t>e 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3D6F6F3" w14:textId="20054ABB" w:rsidR="0064636D" w:rsidRPr="001C6137" w:rsidRDefault="0064636D" w:rsidP="0026473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410172"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410172">
        <w:rPr>
          <w:rFonts w:ascii="Arial" w:hAnsi="Arial" w:cs="Arial"/>
          <w:color w:val="000000" w:themeColor="text1"/>
          <w:sz w:val="22"/>
          <w:szCs w:val="22"/>
          <w:lang w:eastAsia="en-US"/>
        </w:rPr>
        <w:t>Reserva de Contingência</w:t>
      </w:r>
    </w:p>
    <w:p w14:paraId="48CCBBF7" w14:textId="10B5722C" w:rsidR="0064636D" w:rsidRPr="001C6137" w:rsidRDefault="0064636D" w:rsidP="0064636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 w:rsidR="00410172"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64636D" w:rsidRPr="001C6137" w14:paraId="469D1148" w14:textId="77777777" w:rsidTr="00B930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DDF3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B0B5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EC4B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B93B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4636D" w:rsidRPr="001C6137" w14:paraId="1B37677A" w14:textId="77777777" w:rsidTr="00B930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D2F2" w14:textId="60896363" w:rsidR="0064636D" w:rsidRPr="001C6137" w:rsidRDefault="00410172" w:rsidP="00B930C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28.846.0013.0.159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54F3" w14:textId="7461D4A5" w:rsidR="0064636D" w:rsidRPr="001C6137" w:rsidRDefault="00410172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Reserva de Contingência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93F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ADDA" w14:textId="77777777" w:rsidR="0064636D" w:rsidRPr="001C6137" w:rsidRDefault="0064636D" w:rsidP="00B930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4636D" w:rsidRPr="001C6137" w14:paraId="0E1F8D8D" w14:textId="77777777" w:rsidTr="00B930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80A6" w14:textId="60E18BBB" w:rsidR="0064636D" w:rsidRPr="001C6137" w:rsidRDefault="00410172" w:rsidP="0064636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9.9.99.99</w:t>
            </w:r>
            <w:r w:rsidR="0064636D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252A" w14:textId="35712C76" w:rsidR="0064636D" w:rsidRPr="001C6137" w:rsidRDefault="00410172" w:rsidP="006463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Reserva de Contingência e Reserva </w:t>
            </w:r>
            <w:r w:rsidR="00AC6C3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de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RPPS</w:t>
            </w:r>
            <w:r w:rsidR="0064636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4636D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353" w14:textId="77777777" w:rsidR="0064636D" w:rsidRPr="00A97B49" w:rsidRDefault="0064636D" w:rsidP="006463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B38B" w14:textId="5137166E" w:rsidR="0064636D" w:rsidRDefault="000D67C8" w:rsidP="006463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415.036,45</w:t>
            </w:r>
            <w:r w:rsidR="0064636D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2A17C3D3" w14:textId="77777777" w:rsidR="000D67C8" w:rsidRDefault="000D67C8" w:rsidP="00113C72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D15E6F0" w14:textId="49645B84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4D45833" w14:textId="77777777" w:rsidR="00113C72" w:rsidRDefault="00113C72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1486D61" w14:textId="77777777" w:rsidR="00113C72" w:rsidRDefault="00113C72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75BCC9E1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03709A">
        <w:rPr>
          <w:rFonts w:ascii="Arial" w:hAnsi="Arial" w:cs="Arial"/>
          <w:bCs/>
          <w:color w:val="000000" w:themeColor="text1"/>
          <w:sz w:val="22"/>
          <w:szCs w:val="22"/>
        </w:rPr>
        <w:t>18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E94C74">
        <w:rPr>
          <w:rFonts w:ascii="Arial" w:hAnsi="Arial" w:cs="Arial"/>
          <w:bCs/>
          <w:color w:val="000000" w:themeColor="text1"/>
          <w:sz w:val="22"/>
          <w:szCs w:val="22"/>
        </w:rPr>
        <w:t>julho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64C4270" w14:textId="77777777" w:rsidR="0003709A" w:rsidRDefault="0003709A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69DA1A0" w14:textId="77777777" w:rsidR="0003709A" w:rsidRDefault="0003709A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384E2FEC" w14:textId="77777777" w:rsidR="0003709A" w:rsidRPr="00CC75D8" w:rsidRDefault="0003709A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1A73C4A9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03709A">
        <w:rPr>
          <w:rFonts w:ascii="Arial" w:hAnsi="Arial" w:cs="Arial"/>
          <w:b/>
          <w:sz w:val="22"/>
          <w:szCs w:val="22"/>
        </w:rPr>
        <w:t>MARIO GUILHERME JOVANOVICHS SCAPIN</w:t>
      </w:r>
    </w:p>
    <w:p w14:paraId="4F0EDA3E" w14:textId="01EEA88C" w:rsidR="006D118E" w:rsidRPr="00CC75D8" w:rsidRDefault="00E1493A" w:rsidP="006D118E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D118E" w:rsidRPr="00CC75D8">
        <w:rPr>
          <w:rFonts w:ascii="Arial" w:hAnsi="Arial" w:cs="Arial"/>
          <w:sz w:val="22"/>
          <w:szCs w:val="22"/>
        </w:rPr>
        <w:t>Prefeito Municipal</w:t>
      </w:r>
      <w:r w:rsidR="0003709A">
        <w:rPr>
          <w:rFonts w:ascii="Arial" w:hAnsi="Arial" w:cs="Arial"/>
          <w:sz w:val="22"/>
          <w:szCs w:val="22"/>
        </w:rPr>
        <w:t xml:space="preserve"> em exercício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530E3C25" w14:textId="18B4CE6E" w:rsidR="004B124A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6B6007E8" w14:textId="5E1C4717" w:rsidR="001438D6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7DE02846" w14:textId="77777777" w:rsidR="001438D6" w:rsidRPr="00CC75D8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2A913E70" w:rsidR="006D118E" w:rsidRPr="00CC75D8" w:rsidRDefault="0003709A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="007B065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4BD11FDF" w14:textId="7DB7424F" w:rsidR="006D118E" w:rsidRDefault="006D118E" w:rsidP="0001399D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307E75DF" w14:textId="77777777" w:rsidR="006D118E" w:rsidRPr="00EA51B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EA51B7" w:rsidRDefault="006D118E" w:rsidP="006D118E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68504386" w14:textId="77777777" w:rsidR="006D118E" w:rsidRPr="00EA51B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4660C12" w14:textId="40149F01" w:rsidR="009743FD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03709A">
        <w:rPr>
          <w:rFonts w:ascii="Arial" w:hAnsi="Arial" w:cs="Arial"/>
          <w:lang w:eastAsia="en-US"/>
        </w:rPr>
        <w:t>049</w:t>
      </w:r>
      <w:r w:rsidRPr="00E77958">
        <w:rPr>
          <w:rFonts w:ascii="Arial" w:hAnsi="Arial" w:cs="Arial"/>
          <w:lang w:eastAsia="en-US"/>
        </w:rPr>
        <w:t>/202</w:t>
      </w:r>
      <w:r w:rsidR="007535CD">
        <w:rPr>
          <w:rFonts w:ascii="Arial" w:hAnsi="Arial" w:cs="Arial"/>
          <w:lang w:eastAsia="en-US"/>
        </w:rPr>
        <w:t>5</w:t>
      </w:r>
      <w:r w:rsidRPr="00EA51B7">
        <w:rPr>
          <w:rFonts w:ascii="Arial" w:hAnsi="Arial" w:cs="Arial"/>
          <w:lang w:eastAsia="en-US"/>
        </w:rPr>
        <w:t xml:space="preserve"> 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>
        <w:rPr>
          <w:rFonts w:ascii="Arial" w:hAnsi="Arial" w:cs="Arial"/>
          <w:b/>
          <w:i/>
        </w:rPr>
        <w:t xml:space="preserve"> Adicional </w:t>
      </w:r>
      <w:r w:rsidR="00844BA8">
        <w:rPr>
          <w:rFonts w:ascii="Arial" w:hAnsi="Arial" w:cs="Arial"/>
          <w:b/>
          <w:i/>
        </w:rPr>
        <w:t>Suplementar</w:t>
      </w:r>
      <w:r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>
        <w:rPr>
          <w:rFonts w:ascii="Arial" w:hAnsi="Arial" w:cs="Arial"/>
          <w:b/>
          <w:i/>
        </w:rPr>
        <w:t>2</w:t>
      </w:r>
      <w:r w:rsidR="00676D41">
        <w:rPr>
          <w:rFonts w:ascii="Arial" w:hAnsi="Arial" w:cs="Arial"/>
          <w:b/>
          <w:i/>
        </w:rPr>
        <w:t>5</w:t>
      </w:r>
      <w:r w:rsidRPr="00EA51B7">
        <w:rPr>
          <w:rFonts w:ascii="Arial" w:hAnsi="Arial" w:cs="Arial"/>
          <w:b/>
          <w:i/>
        </w:rPr>
        <w:t>”.</w:t>
      </w:r>
    </w:p>
    <w:p w14:paraId="32E01030" w14:textId="7F16369E" w:rsidR="009743FD" w:rsidRDefault="009743FD" w:rsidP="0026473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04DAA">
        <w:rPr>
          <w:rFonts w:ascii="Arial" w:hAnsi="Arial" w:cs="Arial"/>
        </w:rPr>
        <w:t>s Itens</w:t>
      </w:r>
      <w:r>
        <w:rPr>
          <w:rFonts w:ascii="Arial" w:hAnsi="Arial" w:cs="Arial"/>
        </w:rPr>
        <w:t xml:space="preserve"> I</w:t>
      </w:r>
      <w:r w:rsidR="00604DAA">
        <w:rPr>
          <w:rFonts w:ascii="Arial" w:hAnsi="Arial" w:cs="Arial"/>
        </w:rPr>
        <w:t>, II, III, IV, V e VI</w:t>
      </w:r>
      <w:r>
        <w:rPr>
          <w:rFonts w:ascii="Arial" w:hAnsi="Arial" w:cs="Arial"/>
        </w:rPr>
        <w:t xml:space="preserve"> do Art. 1º trata</w:t>
      </w:r>
      <w:r w:rsidR="00604DA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de suplementar no orçamento da </w:t>
      </w:r>
      <w:r w:rsidR="00B32F4B">
        <w:rPr>
          <w:rFonts w:ascii="Arial" w:hAnsi="Arial" w:cs="Arial"/>
        </w:rPr>
        <w:t xml:space="preserve">Secretaria de </w:t>
      </w:r>
      <w:r w:rsidR="00604DAA">
        <w:rPr>
          <w:rFonts w:ascii="Arial" w:hAnsi="Arial" w:cs="Arial"/>
        </w:rPr>
        <w:t xml:space="preserve">Municipal de </w:t>
      </w:r>
      <w:r w:rsidR="008E59D0">
        <w:rPr>
          <w:rFonts w:ascii="Arial" w:hAnsi="Arial" w:cs="Arial"/>
        </w:rPr>
        <w:t>Obras, Transito e Transporte</w:t>
      </w:r>
      <w:r>
        <w:rPr>
          <w:rFonts w:ascii="Arial" w:hAnsi="Arial" w:cs="Arial"/>
        </w:rPr>
        <w:t xml:space="preserve"> </w:t>
      </w:r>
      <w:r w:rsidR="00604DAA">
        <w:rPr>
          <w:rFonts w:ascii="Arial" w:hAnsi="Arial" w:cs="Arial"/>
        </w:rPr>
        <w:t xml:space="preserve">nos </w:t>
      </w:r>
      <w:proofErr w:type="spellStart"/>
      <w:r w:rsidR="00604DAA">
        <w:rPr>
          <w:rFonts w:ascii="Arial" w:hAnsi="Arial" w:cs="Arial"/>
        </w:rPr>
        <w:t>Proj</w:t>
      </w:r>
      <w:proofErr w:type="spellEnd"/>
      <w:r w:rsidR="00604DAA">
        <w:rPr>
          <w:rFonts w:ascii="Arial" w:hAnsi="Arial" w:cs="Arial"/>
        </w:rPr>
        <w:t xml:space="preserve">/Ativ. </w:t>
      </w:r>
      <w:r w:rsidR="008E59D0">
        <w:rPr>
          <w:rFonts w:ascii="Arial" w:hAnsi="Arial" w:cs="Arial"/>
          <w:color w:val="000000" w:themeColor="text1"/>
          <w:sz w:val="22"/>
          <w:szCs w:val="22"/>
          <w:lang w:eastAsia="en-US"/>
        </w:rPr>
        <w:t>Manutenção de Praças, Parques e Jardins Públicos</w:t>
      </w:r>
      <w:r w:rsidR="00604DAA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604DAA">
        <w:rPr>
          <w:rFonts w:ascii="Arial" w:hAnsi="Arial" w:cs="Arial"/>
        </w:rPr>
        <w:t xml:space="preserve"> </w:t>
      </w:r>
      <w:r w:rsidR="008E59D0">
        <w:rPr>
          <w:rFonts w:ascii="Arial" w:hAnsi="Arial" w:cs="Arial"/>
          <w:color w:val="000000" w:themeColor="text1"/>
          <w:sz w:val="22"/>
          <w:szCs w:val="22"/>
          <w:lang w:eastAsia="en-US"/>
        </w:rPr>
        <w:t>Manutenção da Secretaria de Obras</w:t>
      </w:r>
      <w:r w:rsidR="00B32F4B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604DA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8E59D0">
        <w:rPr>
          <w:rFonts w:ascii="Arial" w:hAnsi="Arial" w:cs="Arial"/>
          <w:color w:val="000000" w:themeColor="text1"/>
          <w:sz w:val="22"/>
          <w:szCs w:val="22"/>
          <w:lang w:eastAsia="en-US"/>
        </w:rPr>
        <w:t>Manutenção do Sistema de Iluminação Pública</w:t>
      </w:r>
      <w:r w:rsidR="00604DA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8E59D0">
        <w:rPr>
          <w:rFonts w:ascii="Arial" w:hAnsi="Arial" w:cs="Arial"/>
          <w:color w:val="000000" w:themeColor="text1"/>
          <w:sz w:val="22"/>
          <w:szCs w:val="22"/>
          <w:lang w:eastAsia="en-US"/>
        </w:rPr>
        <w:t>Pavimentação da Rua Garibaldi</w:t>
      </w:r>
      <w:r w:rsidR="00604DA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8E59D0">
        <w:rPr>
          <w:rFonts w:ascii="Arial" w:hAnsi="Arial" w:cs="Arial"/>
          <w:color w:val="000000" w:themeColor="text1"/>
          <w:sz w:val="22"/>
          <w:szCs w:val="22"/>
          <w:lang w:eastAsia="en-US"/>
        </w:rPr>
        <w:t>Pavimentação da Rua Visconde do Rio Branco Trecho 1</w:t>
      </w:r>
      <w:r w:rsidR="00604DA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8E59D0">
        <w:rPr>
          <w:rFonts w:ascii="Arial" w:hAnsi="Arial" w:cs="Arial"/>
          <w:color w:val="000000" w:themeColor="text1"/>
          <w:sz w:val="22"/>
          <w:szCs w:val="22"/>
          <w:lang w:eastAsia="en-US"/>
        </w:rPr>
        <w:t>Pavimentação da Rua Visconde do Rio Branco Trecho 2</w:t>
      </w:r>
      <w:r w:rsidR="00604DAA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B32F4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conforme CI</w:t>
      </w:r>
      <w:r w:rsidR="002A05B8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B32F4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nº </w:t>
      </w:r>
      <w:r w:rsidR="008E59D0">
        <w:rPr>
          <w:rFonts w:ascii="Arial" w:hAnsi="Arial" w:cs="Arial"/>
          <w:color w:val="000000" w:themeColor="text1"/>
          <w:sz w:val="22"/>
          <w:szCs w:val="22"/>
          <w:lang w:eastAsia="en-US"/>
        </w:rPr>
        <w:t>38</w:t>
      </w:r>
      <w:r w:rsidR="00B32F4B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/2025 </w:t>
      </w:r>
      <w:r w:rsidR="002A05B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e </w:t>
      </w:r>
      <w:r w:rsidR="008E59D0">
        <w:rPr>
          <w:rFonts w:ascii="Arial" w:hAnsi="Arial" w:cs="Arial"/>
          <w:color w:val="000000" w:themeColor="text1"/>
          <w:sz w:val="22"/>
          <w:szCs w:val="22"/>
          <w:lang w:eastAsia="en-US"/>
        </w:rPr>
        <w:t>44</w:t>
      </w:r>
      <w:r w:rsidR="002A05B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/2025, </w:t>
      </w:r>
      <w:r w:rsidR="00B32F4B">
        <w:rPr>
          <w:rFonts w:ascii="Arial" w:hAnsi="Arial" w:cs="Arial"/>
          <w:color w:val="000000" w:themeColor="text1"/>
          <w:sz w:val="22"/>
          <w:szCs w:val="22"/>
          <w:lang w:eastAsia="en-US"/>
        </w:rPr>
        <w:t>em anexo.</w:t>
      </w:r>
    </w:p>
    <w:p w14:paraId="430A57F1" w14:textId="5FDB0773" w:rsidR="006D118E" w:rsidRPr="004C4755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="0081741F" w:rsidRPr="00F37493">
        <w:rPr>
          <w:rFonts w:ascii="Arial" w:hAnsi="Arial" w:cs="Arial"/>
          <w:b/>
          <w:color w:val="FF0000"/>
          <w:sz w:val="22"/>
          <w:szCs w:val="22"/>
          <w:lang w:eastAsia="en-US"/>
        </w:rPr>
        <w:t xml:space="preserve">Reunião </w:t>
      </w:r>
      <w:r w:rsidR="0003709A">
        <w:rPr>
          <w:rFonts w:ascii="Arial" w:hAnsi="Arial" w:cs="Arial"/>
          <w:b/>
          <w:color w:val="FF0000"/>
          <w:sz w:val="22"/>
          <w:szCs w:val="22"/>
          <w:lang w:eastAsia="en-US"/>
        </w:rPr>
        <w:t>Extrao</w:t>
      </w:r>
      <w:r w:rsidR="0081741F" w:rsidRPr="00F37493">
        <w:rPr>
          <w:rFonts w:ascii="Arial" w:hAnsi="Arial" w:cs="Arial"/>
          <w:b/>
          <w:color w:val="FF0000"/>
          <w:sz w:val="22"/>
          <w:szCs w:val="22"/>
          <w:lang w:eastAsia="en-US"/>
        </w:rPr>
        <w:t>rdinária</w:t>
      </w:r>
      <w:r w:rsidRPr="00831735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Pr="004C4755">
        <w:rPr>
          <w:rFonts w:ascii="Arial" w:hAnsi="Arial" w:cs="Arial"/>
          <w:sz w:val="22"/>
          <w:szCs w:val="22"/>
          <w:lang w:eastAsia="en-US"/>
        </w:rPr>
        <w:t xml:space="preserve"> devido à necessidade de manter em perfeita condição as condições contratuais, desta forma a celeridade do projeto em questão, justifica o Regime aqui proposto. </w:t>
      </w:r>
    </w:p>
    <w:p w14:paraId="59FBF249" w14:textId="77777777" w:rsidR="0003709A" w:rsidRDefault="0003709A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18AB230" w14:textId="77777777" w:rsidR="0003709A" w:rsidRDefault="0003709A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92A709" w14:textId="123A5951" w:rsidR="006D118E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63812D19" w14:textId="6DAC0C85" w:rsidR="008E59D0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C692E7E" w14:textId="77777777" w:rsidR="008E59D0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0E2A2D8" w14:textId="77777777" w:rsidR="0003709A" w:rsidRDefault="0003709A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18E1648" w14:textId="77777777" w:rsidR="0003709A" w:rsidRPr="0001399D" w:rsidRDefault="0003709A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1EC070" w14:textId="123A19C9" w:rsidR="006D118E" w:rsidRPr="003D072D" w:rsidRDefault="0003709A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MARIO GUILHERME JOVANOVICHS SCAPIN</w:t>
      </w:r>
    </w:p>
    <w:p w14:paraId="4E765C55" w14:textId="1CF497D5" w:rsidR="00EA51B7" w:rsidRPr="00665F79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  <w:r w:rsidR="0003709A">
        <w:rPr>
          <w:rFonts w:ascii="Arial" w:hAnsi="Arial" w:cs="Arial"/>
          <w:sz w:val="22"/>
          <w:szCs w:val="22"/>
        </w:rPr>
        <w:t xml:space="preserve"> em exercício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BF7A" w14:textId="77777777" w:rsidR="00535C79" w:rsidRDefault="00535C79" w:rsidP="00BC7A26">
      <w:r>
        <w:separator/>
      </w:r>
    </w:p>
  </w:endnote>
  <w:endnote w:type="continuationSeparator" w:id="0">
    <w:p w14:paraId="1CB1C5E8" w14:textId="77777777" w:rsidR="00535C79" w:rsidRDefault="00535C79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62C7F3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 w:rsidR="0003709A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207D" w14:textId="77777777" w:rsidR="00535C79" w:rsidRDefault="00535C79" w:rsidP="00BC7A26">
      <w:r>
        <w:separator/>
      </w:r>
    </w:p>
  </w:footnote>
  <w:footnote w:type="continuationSeparator" w:id="0">
    <w:p w14:paraId="06D830C3" w14:textId="77777777" w:rsidR="00535C79" w:rsidRDefault="00535C79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7F2A4A" w:rsidRDefault="00EE4899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CD213F" w:rsidRPr="00B7701B" w:rsidRDefault="007F2A4A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CD213F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7F2A4A" w:rsidRDefault="00EE4899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A22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B4583F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97435A1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2B4EC3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6627FF4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87A53FA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B8512B6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178809049">
    <w:abstractNumId w:val="3"/>
  </w:num>
  <w:num w:numId="2" w16cid:durableId="1383365986">
    <w:abstractNumId w:val="4"/>
  </w:num>
  <w:num w:numId="3" w16cid:durableId="849106080">
    <w:abstractNumId w:val="7"/>
  </w:num>
  <w:num w:numId="4" w16cid:durableId="1190145073">
    <w:abstractNumId w:val="2"/>
  </w:num>
  <w:num w:numId="5" w16cid:durableId="943533138">
    <w:abstractNumId w:val="0"/>
  </w:num>
  <w:num w:numId="6" w16cid:durableId="1241598270">
    <w:abstractNumId w:val="6"/>
  </w:num>
  <w:num w:numId="7" w16cid:durableId="304631130">
    <w:abstractNumId w:val="1"/>
  </w:num>
  <w:num w:numId="8" w16cid:durableId="172382439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2013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11A96"/>
    <w:rsid w:val="00011FDA"/>
    <w:rsid w:val="00012595"/>
    <w:rsid w:val="000128BB"/>
    <w:rsid w:val="000136E2"/>
    <w:rsid w:val="0001399D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09A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B7"/>
    <w:rsid w:val="00053CC0"/>
    <w:rsid w:val="000552EA"/>
    <w:rsid w:val="0005549F"/>
    <w:rsid w:val="00055AA6"/>
    <w:rsid w:val="0005652C"/>
    <w:rsid w:val="00057E35"/>
    <w:rsid w:val="00060869"/>
    <w:rsid w:val="00061F81"/>
    <w:rsid w:val="00063F15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3DFB"/>
    <w:rsid w:val="000E520C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C72"/>
    <w:rsid w:val="00113EE5"/>
    <w:rsid w:val="001175C1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46D8"/>
    <w:rsid w:val="001B6E7A"/>
    <w:rsid w:val="001B7471"/>
    <w:rsid w:val="001B77BF"/>
    <w:rsid w:val="001C0BD2"/>
    <w:rsid w:val="001C0CF6"/>
    <w:rsid w:val="001C157D"/>
    <w:rsid w:val="001C37F6"/>
    <w:rsid w:val="001C3AC2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E45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39C5"/>
    <w:rsid w:val="00534EBF"/>
    <w:rsid w:val="00535652"/>
    <w:rsid w:val="00535C79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5E26"/>
    <w:rsid w:val="005C70E4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4DAA"/>
    <w:rsid w:val="00604F45"/>
    <w:rsid w:val="006054BC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122A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67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5F4A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548F"/>
    <w:rsid w:val="0087583B"/>
    <w:rsid w:val="008775DF"/>
    <w:rsid w:val="00877BA8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7BA"/>
    <w:rsid w:val="00AE3B1F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390"/>
    <w:rsid w:val="00B113EF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D99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2BA1"/>
    <w:rsid w:val="00D33215"/>
    <w:rsid w:val="00D33549"/>
    <w:rsid w:val="00D34228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3975"/>
    <w:rsid w:val="00E13A42"/>
    <w:rsid w:val="00E1493A"/>
    <w:rsid w:val="00E15809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0E6A"/>
    <w:rsid w:val="00E91237"/>
    <w:rsid w:val="00E91FB9"/>
    <w:rsid w:val="00E91FFD"/>
    <w:rsid w:val="00E92715"/>
    <w:rsid w:val="00E92828"/>
    <w:rsid w:val="00E93597"/>
    <w:rsid w:val="00E93DE0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99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493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DFB"/>
    <w:rsid w:val="00FD6044"/>
    <w:rsid w:val="00FD6A89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BE40B-C1A8-48DA-B32E-D490AD07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4001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2024-01-05T12:33:00Z</cp:lastPrinted>
  <dcterms:created xsi:type="dcterms:W3CDTF">2025-07-22T11:13:00Z</dcterms:created>
  <dcterms:modified xsi:type="dcterms:W3CDTF">2025-07-22T11:13:00Z</dcterms:modified>
</cp:coreProperties>
</file>